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（网页及客户端）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rPr>
          <w:rFonts w:ascii="微软雅黑" w:hAnsi="微软雅黑" w:cs="微软雅黑"/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2021-12-17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建立初版</w:t>
            </w:r>
          </w:p>
        </w:tc>
      </w:tr>
    </w:tbl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ascii="宋体" w:hAnsi="宋体" w:eastAsia="宋体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/>
        </w:rPr>
      </w:sdtEndPr>
      <w:sdtContent>
        <w:p>
          <w:pPr>
            <w:jc w:val="center"/>
          </w:pPr>
          <w:r>
            <w:rPr>
              <w:rFonts w:ascii="宋体" w:hAnsi="宋体" w:eastAsia="宋体"/>
            </w:rPr>
            <w:t>目录</w:t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_Toc5487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_Toc5487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_Toc20447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_Toc20447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_Toc7210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1.1.1、下载客户端注意事项：</w:t>
          </w:r>
          <w:r>
            <w:tab/>
          </w:r>
          <w:r>
            <w:fldChar w:fldCharType="begin"/>
          </w:r>
          <w:r>
            <w:instrText xml:space="preserve"> PAGEREF _Toc7210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_Toc14759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_Toc14759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_Toc14984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_Toc14984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_Toc19083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_Toc19083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_Toc18041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_Toc18041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_Toc25338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_Toc25338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_Toc24586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_Toc24586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_Toc9939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_Toc9939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_Toc14201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_Toc14201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_Toc14777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_Toc14777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_Toc11473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2.1.互动面试</w:t>
          </w:r>
          <w:r>
            <w:tab/>
          </w:r>
          <w:r>
            <w:fldChar w:fldCharType="begin"/>
          </w:r>
          <w:r>
            <w:instrText xml:space="preserve"> PAGEREF _Toc11473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_Toc25267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2.1.1签署考试承诺书</w:t>
          </w:r>
          <w:r>
            <w:tab/>
          </w:r>
          <w:r>
            <w:fldChar w:fldCharType="begin"/>
          </w:r>
          <w:r>
            <w:instrText xml:space="preserve"> PAGEREF _Toc25267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_Toc23936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_Toc23936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_Toc31217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_Toc31217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_Toc6022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_Toc6022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_Toc22972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2.2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_Toc22972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_Toc10029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2.2.1实时互动——集中考试</w:t>
          </w:r>
          <w:r>
            <w:tab/>
          </w:r>
          <w:r>
            <w:fldChar w:fldCharType="begin"/>
          </w:r>
          <w:r>
            <w:instrText xml:space="preserve"> PAGEREF _Toc10029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_Toc5075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1.1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_Toc5075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_Toc23399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_Toc23399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_Toc30404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3等待下发考卷</w:t>
          </w:r>
          <w:r>
            <w:tab/>
          </w:r>
          <w:r>
            <w:fldChar w:fldCharType="begin"/>
          </w:r>
          <w:r>
            <w:instrText xml:space="preserve"> PAGEREF _Toc30404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_Toc15949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4开始作答</w:t>
          </w:r>
          <w:r>
            <w:tab/>
          </w:r>
          <w:r>
            <w:fldChar w:fldCharType="begin"/>
          </w:r>
          <w:r>
            <w:instrText xml:space="preserve"> PAGEREF _Toc15949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_Toc2822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5提交答卷</w:t>
          </w:r>
          <w:r>
            <w:tab/>
          </w:r>
          <w:r>
            <w:fldChar w:fldCharType="begin"/>
          </w:r>
          <w:r>
            <w:instrText xml:space="preserve"> PAGEREF _Toc2822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_Toc10827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highlight w:val="none"/>
              <w:lang w:val="en-US" w:eastAsia="zh-CN"/>
            </w:rPr>
            <w:t>2.2.2实时互动——随来随考</w:t>
          </w:r>
          <w:r>
            <w:tab/>
          </w:r>
          <w:r>
            <w:fldChar w:fldCharType="begin"/>
          </w:r>
          <w:r>
            <w:instrText xml:space="preserve"> PAGEREF _Toc10827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_Toc11740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2"/>
              <w:lang w:val="en-US" w:eastAsia="zh-CN"/>
            </w:rPr>
            <w:t>2.2.2.1 签署考试承诺书</w:t>
          </w:r>
          <w:r>
            <w:tab/>
          </w:r>
          <w:r>
            <w:fldChar w:fldCharType="begin"/>
          </w:r>
          <w:r>
            <w:instrText xml:space="preserve"> PAGEREF _Toc11740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_Toc27135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2.2.2.2 人脸识别</w:t>
          </w:r>
          <w:r>
            <w:tab/>
          </w:r>
          <w:r>
            <w:fldChar w:fldCharType="begin"/>
          </w:r>
          <w:r>
            <w:instrText xml:space="preserve"> PAGEREF _Toc27135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_Toc24642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2.2.2.3 进入考试</w:t>
          </w:r>
          <w:r>
            <w:tab/>
          </w:r>
          <w:r>
            <w:fldChar w:fldCharType="begin"/>
          </w:r>
          <w:r>
            <w:instrText xml:space="preserve"> PAGEREF _Toc24642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_Toc16352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_Toc16352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_Toc21122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_Toc21122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_Toc23575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3.2.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_Toc23575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2"/>
          </w:pPr>
          <w:r>
            <w:fldChar w:fldCharType="end"/>
          </w:r>
        </w:p>
      </w:sdtContent>
    </w:sdt>
    <w:p>
      <w:pPr>
        <w:pStyle w:val="3"/>
        <w:rPr>
          <w:rFonts w:ascii="微软雅黑" w:hAnsi="微软雅黑" w:cs="微软雅黑"/>
        </w:rPr>
      </w:pPr>
      <w:bookmarkStart w:id="0" w:name="_Toc31267"/>
      <w:bookmarkStart w:id="1" w:name="_Toc5487"/>
      <w:r>
        <w:rPr>
          <w:rFonts w:hint="eastAsia" w:ascii="微软雅黑" w:hAnsi="微软雅黑" w:cs="微软雅黑"/>
        </w:rPr>
        <w:t>1.考前</w:t>
      </w:r>
      <w:bookmarkEnd w:id="0"/>
      <w:bookmarkEnd w:id="1"/>
    </w:p>
    <w:p>
      <w:pPr>
        <w:pStyle w:val="4"/>
        <w:rPr>
          <w:rFonts w:ascii="微软雅黑" w:hAnsi="微软雅黑" w:cs="微软雅黑"/>
        </w:rPr>
      </w:pPr>
      <w:bookmarkStart w:id="2" w:name="_Toc20447"/>
      <w:bookmarkStart w:id="3" w:name="_Toc11754"/>
      <w:r>
        <w:rPr>
          <w:rFonts w:hint="eastAsia" w:ascii="微软雅黑" w:hAnsi="微软雅黑" w:cs="微软雅黑"/>
        </w:rPr>
        <w:t>1.1注意事项</w:t>
      </w:r>
      <w:bookmarkEnd w:id="2"/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考生支持使用web或客户端进行面试和笔试（功能相同，本说明以web端为例）</w:t>
      </w:r>
    </w:p>
    <w:p>
      <w:pPr>
        <w:pStyle w:val="5"/>
        <w:rPr>
          <w:lang w:eastAsia="zh-CN"/>
        </w:rPr>
      </w:pPr>
      <w:bookmarkStart w:id="4" w:name="_Toc7210"/>
      <w:r>
        <w:rPr>
          <w:rFonts w:hint="eastAsia"/>
          <w:lang w:eastAsia="zh-CN"/>
        </w:rPr>
        <w:t>1.1.1、下载客户端注意事项：</w:t>
      </w:r>
      <w:bookmarkEnd w:id="4"/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Windows操作系统初次使用客户端时安全软件可能会弹出提示，点击“允许”即可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Mac系统初次使用客户端时可能会提示“来自身份不明的开发者”，请根据提示进行操作</w:t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点击“好”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 xml:space="preserve"> 打开系统设置偏好中的“安全与隐私”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选择“仍要打开”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5" w:name="_Toc14759"/>
      <w:r>
        <w:rPr>
          <w:rFonts w:hint="eastAsia"/>
          <w:lang w:eastAsia="zh-CN"/>
        </w:rPr>
        <w:t>1.1.2 Mac电脑检查权限是否开启：</w:t>
      </w:r>
      <w:bookmarkEnd w:id="5"/>
    </w:p>
    <w:p>
      <w:r>
        <w:rPr>
          <w:rFonts w:hint="eastAsia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6" w:name="_Toc25456"/>
      <w:bookmarkStart w:id="7" w:name="_Toc14984"/>
      <w:r>
        <w:rPr>
          <w:rFonts w:hint="eastAsia" w:ascii="微软雅黑" w:hAnsi="微软雅黑" w:cs="微软雅黑"/>
        </w:rPr>
        <w:t>1.2登录</w:t>
      </w:r>
      <w:bookmarkEnd w:id="6"/>
      <w:bookmarkEnd w:id="7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打开“云考AI考生考官登录”链接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选择角色：我是考生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输入手机号、短信验证码进行登录</w:t>
      </w:r>
    </w:p>
    <w:p>
      <w:pPr>
        <w:pStyle w:val="2"/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如果该学生所在学院开启允许身份证登录的设置，则学生可以使用身份证号登录；</w:t>
      </w:r>
    </w:p>
    <w:p>
      <w:pPr>
        <w:numPr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3" name="图片 13" descr="学生登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学生登录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</w:pPr>
      <w:r>
        <w:rPr>
          <w:rFonts w:hint="eastAsia" w:ascii="微软雅黑" w:hAnsi="微软雅黑" w:cs="微软雅黑"/>
        </w:rPr>
        <w:t>若该考生账号存在于多个学院，登录后可选择优先展示考试数据的学院，并可任意切换</w:t>
      </w:r>
    </w:p>
    <w:p>
      <w:pPr>
        <w:pStyle w:val="4"/>
        <w:rPr>
          <w:rFonts w:ascii="微软雅黑" w:hAnsi="微软雅黑" w:cs="微软雅黑"/>
        </w:rPr>
      </w:pPr>
      <w:bookmarkStart w:id="8" w:name="_Toc19083"/>
      <w:bookmarkStart w:id="9" w:name="_Toc11772"/>
      <w:r>
        <w:rPr>
          <w:rFonts w:hint="eastAsia" w:ascii="微软雅黑" w:hAnsi="微软雅黑" w:cs="微软雅黑"/>
        </w:rPr>
        <w:t>1.3查看学校公告</w:t>
      </w:r>
      <w:bookmarkEnd w:id="8"/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0" w:name="_Toc18041"/>
      <w:bookmarkStart w:id="11" w:name="_Toc13298"/>
      <w:r>
        <w:rPr>
          <w:rFonts w:hint="eastAsia" w:ascii="微软雅黑" w:hAnsi="微软雅黑" w:cs="微软雅黑"/>
        </w:rPr>
        <w:t>1.4切换学院</w:t>
      </w:r>
      <w:bookmarkEnd w:id="10"/>
    </w:p>
    <w:p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2" w:name="_Toc25338"/>
      <w:r>
        <w:rPr>
          <w:rFonts w:hint="eastAsia" w:ascii="微软雅黑" w:hAnsi="微软雅黑" w:cs="微软雅黑"/>
        </w:rPr>
        <w:t>1.5选择考试业务</w:t>
      </w:r>
      <w:bookmarkEnd w:id="11"/>
      <w:bookmarkEnd w:id="1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  <w:r>
        <w:rPr>
          <w:rFonts w:ascii="微软雅黑" w:hAnsi="微软雅黑" w:cs="微软雅黑"/>
        </w:rPr>
        <w:t xml:space="preserve"> 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当选择业务不需要缴费，可直接进入该业务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当选择业务需要缴费，全部专业缴费后才可进入业务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3" w:name="_Toc24586"/>
      <w:r>
        <w:rPr>
          <w:rFonts w:hint="eastAsia" w:ascii="微软雅黑" w:hAnsi="微软雅黑" w:cs="微软雅黑"/>
        </w:rPr>
        <w:t>1.6进入业务上传附件</w:t>
      </w:r>
      <w:bookmarkEnd w:id="13"/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  <w:r>
        <w:rPr>
          <w:rFonts w:hint="eastAsia" w:ascii="微软雅黑" w:hAnsi="微软雅黑" w:cs="微软雅黑"/>
          <w:lang w:eastAsia="zh-CN"/>
        </w:rPr>
        <w:t>；</w:t>
      </w:r>
      <w:r>
        <w:rPr>
          <w:rFonts w:hint="eastAsia" w:ascii="微软雅黑" w:hAnsi="微软雅黑" w:cs="微软雅黑"/>
          <w:lang w:val="en-US" w:eastAsia="zh-CN"/>
        </w:rPr>
        <w:t>如果该报考专业设置了审核提交的时间限制，则学生需要在规定时间内提交审核材料；</w:t>
      </w:r>
    </w:p>
    <w:p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38290" cy="4900295"/>
            <wp:effectExtent l="0" t="0" r="10160" b="14605"/>
            <wp:docPr id="16" name="图片 16" descr="提交未超时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提交未超时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4" w:name="_Toc15476"/>
      <w:bookmarkStart w:id="15" w:name="_Toc9939"/>
      <w:r>
        <w:rPr>
          <w:rFonts w:hint="eastAsia" w:ascii="微软雅黑" w:hAnsi="微软雅黑" w:cs="微软雅黑"/>
        </w:rPr>
        <w:t>1.7进入业务查看考试业务公告</w:t>
      </w:r>
      <w:bookmarkEnd w:id="14"/>
      <w:bookmarkEnd w:id="1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6" w:name="_Toc12847"/>
      <w:bookmarkStart w:id="17" w:name="_Toc14201"/>
      <w:r>
        <w:rPr>
          <w:rFonts w:hint="eastAsia" w:ascii="微软雅黑" w:hAnsi="微软雅黑" w:cs="微软雅黑"/>
        </w:rPr>
        <w:t>1.8进入业务查看考场</w:t>
      </w:r>
      <w:bookmarkEnd w:id="16"/>
      <w:bookmarkEnd w:id="17"/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cs="微软雅黑"/>
        </w:rPr>
      </w:pPr>
      <w:bookmarkStart w:id="18" w:name="_Toc18410"/>
      <w:bookmarkStart w:id="19" w:name="_Toc14777"/>
      <w:r>
        <w:rPr>
          <w:rFonts w:hint="eastAsia" w:ascii="微软雅黑" w:hAnsi="微软雅黑" w:cs="微软雅黑"/>
        </w:rPr>
        <w:t>2.考中</w:t>
      </w:r>
      <w:bookmarkEnd w:id="18"/>
      <w:bookmarkEnd w:id="1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当考场开始时，考生就可以进入考场进行线上考试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20" w:name="_Toc11473"/>
      <w:bookmarkStart w:id="21" w:name="_Toc29670"/>
      <w:r>
        <w:rPr>
          <w:rFonts w:hint="eastAsia" w:ascii="微软雅黑" w:hAnsi="微软雅黑" w:cs="微软雅黑"/>
          <w:sz w:val="24"/>
          <w:szCs w:val="24"/>
        </w:rPr>
        <w:t>2.1.互动面试</w:t>
      </w:r>
      <w:bookmarkEnd w:id="20"/>
      <w:bookmarkEnd w:id="21"/>
    </w:p>
    <w:p>
      <w:pPr>
        <w:pStyle w:val="5"/>
        <w:rPr>
          <w:lang w:eastAsia="zh-CN"/>
        </w:rPr>
      </w:pPr>
      <w:bookmarkStart w:id="22" w:name="_Toc29339"/>
      <w:bookmarkStart w:id="23" w:name="_Toc25267"/>
      <w:r>
        <w:rPr>
          <w:rFonts w:hint="eastAsia" w:ascii="微软雅黑" w:hAnsi="微软雅黑" w:cs="微软雅黑"/>
          <w:sz w:val="21"/>
          <w:szCs w:val="21"/>
          <w:lang w:eastAsia="zh-CN"/>
        </w:rPr>
        <w:t>2.1.1</w:t>
      </w:r>
      <w:bookmarkEnd w:id="22"/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3"/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4" w:name="_Toc23936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24"/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3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阅读完人脸认证注意事项后，点击“开始认证”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选择正常工作的摄像头，点击“开始人脸识别”，提示“认证中，请稍后”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如果人脸认证成功，则提示“您已通过人脸识别”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5" w:name="_Toc31217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3候考区</w:t>
      </w:r>
      <w:bookmarkEnd w:id="2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候考区后，当候考官没有上线或者候考官正在跟别的考生进行通话时，考生将无法看到候考官的画面。若当考试要求使用双机位进行面试时，考生需要打开云考AIAPP扫描页面提供的二维码加入第二摄像头。考生需要将手机屏幕锁定设置成“永不”，避免考试期间因手机锁屏造成第二摄像头无法提供视频画面的情况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使用云考AIAPP扫码加入第二机位后，会提示“二机位已加入”字样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当候考官选择与考生进行对话时，考生可以看到候考官的画面并与候考官进行音视频交流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当候考官没有与考生开启对话时，考生可以通过聊天功能向候考官反馈问题，寻求帮助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当候考官没有与考生开启对话时，考生还可以通过举手功能向候考官反馈问题，寻求帮助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考场公告：</w:t>
      </w:r>
      <w:r>
        <w:rPr>
          <w:rFonts w:hint="eastAsia"/>
          <w:lang w:val="en-US" w:eastAsia="zh-CN"/>
        </w:rPr>
        <w:t>学生可查看候考官发的考场公告，包括弹窗公告（文字）与浮窗公告（文字、语音）</w:t>
      </w:r>
    </w:p>
    <w:p>
      <w:pPr>
        <w:pStyle w:val="2"/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7" name="图片 17" descr="候考区_弹窗公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候考区_弹窗公告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候考区_考场语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候考区_考场语音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9" name="图片 19" descr="候考区_浮窗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候考区_浮窗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当考场结束时，候考区会收到结束提醒，点击确定按钮后会退出考场</w:t>
      </w:r>
    </w:p>
    <w:p>
      <w:pPr>
        <w:pStyle w:val="2"/>
      </w:pPr>
    </w:p>
    <w:p>
      <w:pPr>
        <w:pStyle w:val="5"/>
        <w:rPr>
          <w:lang w:eastAsia="zh-CN"/>
        </w:rPr>
      </w:pPr>
      <w:bookmarkStart w:id="26" w:name="_Toc6022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4主考区</w:t>
      </w:r>
      <w:bookmarkEnd w:id="26"/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当轮到该考生进行面试时，该考生在候考区会收到面试邀请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点击“开始面试”，进入到主考区，主考区默认为宫格视图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点击“演讲者视图”，主考区将进入演讲者视图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点击“聊天”，考生可以通过聊天功能向候考官反馈问题，寻求帮助（同候考区）</w:t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主考官下发试卷，若主考官进行指定下发，考生将直接看到考题情况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若主考官进行随机下发，考生将直接看到“正在随机选题，请稍后...”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910" cy="4135755"/>
            <wp:effectExtent l="0" t="0" r="2540" b="1714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若主考官进行考生选取，考生将可以直接选择屏幕上的考卷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7" w:name="_Toc22972"/>
      <w:r>
        <w:rPr>
          <w:rFonts w:hint="eastAsia" w:ascii="微软雅黑" w:hAnsi="微软雅黑" w:cs="微软雅黑"/>
          <w:sz w:val="24"/>
          <w:szCs w:val="24"/>
        </w:rPr>
        <w:t>2.2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7"/>
    </w:p>
    <w:p>
      <w:pPr>
        <w:pStyle w:val="5"/>
        <w:ind w:leftChars="100"/>
        <w:rPr>
          <w:rFonts w:hint="default" w:ascii="微软雅黑" w:hAnsi="微软雅黑" w:cs="微软雅黑"/>
          <w:sz w:val="21"/>
          <w:szCs w:val="21"/>
          <w:lang w:val="en-US" w:eastAsia="zh-CN"/>
        </w:rPr>
      </w:pPr>
      <w:bookmarkStart w:id="28" w:name="_Toc10029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2.2.1实时互动——集中考试</w:t>
      </w:r>
      <w:bookmarkEnd w:id="28"/>
    </w:p>
    <w:p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点击“进入考场”，若考场有设置限制迟到且进入考场时，试卷已经下发超过指定时间，无法进入考场，提示“试卷已下发超过X分钟，不允许进入”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8" name="图片 48" descr="考生_我的考场_超过考试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考生_我的考场_超过考试时间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29" w:name="_Toc5075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1.1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9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点击“进入考场”，若该业务已开启考试承诺书功能，则考生在进入考场前需要同意考试承诺书的内容，点击“同意”签署考试承诺书（同互动面试功能）</w:t>
      </w:r>
    </w:p>
    <w:p>
      <w:pPr>
        <w:pStyle w:val="5"/>
        <w:ind w:leftChars="200"/>
        <w:rPr>
          <w:lang w:eastAsia="zh-CN"/>
        </w:rPr>
      </w:pPr>
      <w:bookmarkStart w:id="30" w:name="_Toc2339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30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若该业务已开启人脸识别功能，则考生在进入考场前需要进行人脸识别（同互动面试功能）</w:t>
      </w:r>
    </w:p>
    <w:p>
      <w:pPr>
        <w:pStyle w:val="5"/>
        <w:ind w:leftChars="200"/>
        <w:rPr>
          <w:lang w:eastAsia="zh-CN"/>
        </w:rPr>
      </w:pPr>
      <w:bookmarkStart w:id="31" w:name="_Toc30404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3等待下发考卷</w:t>
      </w:r>
      <w:bookmarkEnd w:id="31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</w:t>
      </w: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笔试界面后，需要阅读笔试考试注意事项，等待考卷下发</w:t>
      </w:r>
    </w:p>
    <w:p>
      <w:pPr>
        <w:pStyle w:val="2"/>
        <w:numPr>
          <w:ilvl w:val="0"/>
          <w:numId w:val="16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实时互动：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41465" cy="4237990"/>
            <wp:effectExtent l="0" t="0" r="6985" b="10160"/>
            <wp:docPr id="80" name="图片 80" descr="lQLPDhsmS0tOPunNA7jNBdSwXodxwPbOn5YCD2oOgMC9AA_1492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lQLPDhsmS0tOPunNA7jNBdSwXodxwPbOn5YCD2oOgMC9AA_1492_9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截屏笔试：在进入界面之前系统自动弹出获取权限请求和共享屏幕要求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3845" cy="3234055"/>
            <wp:effectExtent l="0" t="0" r="14605" b="4445"/>
            <wp:docPr id="8" name="图片 8" descr="lQLPJxaMyYx62wLNA6rNB4Swt65jkU5cVCgC57tywMBvAA_1924_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JxaMyYx62wLNA6rNB4Swt65jkU5cVCgC57tywMBvAA_1924_93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3374390"/>
            <wp:effectExtent l="0" t="0" r="10160" b="16510"/>
            <wp:docPr id="11" name="图片 11" descr="lQLPJxaM3EVKF4zNA9DNB4Cw6FPsN1YSRqsC59ofm4BjAA_1920_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QLPJxaM3EVKF4zNA9DNB4Cw6FPsN1YSRqsC59ofm4BjAA_1920_97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考生可以通过聊天功能向考官反馈问题，寻求帮助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69410"/>
            <wp:effectExtent l="0" t="0" r="7620" b="2540"/>
            <wp:docPr id="79" name="图片 79" descr="lQLPDhsmSyZZyunNA2DNBWCwBGP_wqEeK6ECD2nRswAEAA_1376_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lQLPDhsmSyZZyunNA2DNBWCwBGP_wqEeK6ECD2nRswAEAA_1376_86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考生还可以通过举手功能向考官反馈问题，寻求帮助</w:t>
      </w:r>
    </w:p>
    <w:p>
      <w:pPr>
        <w:numPr>
          <w:ilvl w:val="0"/>
          <w:numId w:val="15"/>
        </w:numPr>
      </w:pPr>
      <w:r>
        <w:rPr>
          <w:rFonts w:hint="eastAsia"/>
          <w:lang w:val="en-US" w:eastAsia="zh-CN"/>
        </w:rPr>
        <w:t>考场公告同上</w:t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32" w:name="_Toc1594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4开始作答</w:t>
      </w:r>
      <w:bookmarkEnd w:id="32"/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当发卷倒计时结束或者考官主动下发考卷后，考生会收到“考卷已下发，请开始作答”的提示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275" cy="4227195"/>
            <wp:effectExtent l="0" t="0" r="3175" b="1905"/>
            <wp:docPr id="81" name="图片 81" descr="lQLPDhsmS1fSlq3NA4bNBYqwrHTxdovQP8QCD2oiyQBHAA_141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QLPDhsmS1fSlq3NA4bNBYqwrHTxdovQP8QCD2oiyQBHAA_1418_90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ind w:leftChars="30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4.1在线编辑类试卷</w:t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在线编辑</w:t>
      </w:r>
      <w:r>
        <w:rPr>
          <w:rFonts w:hint="eastAsia" w:ascii="微软雅黑" w:hAnsi="微软雅黑" w:cs="微软雅黑"/>
          <w:szCs w:val="21"/>
        </w:rPr>
        <w:t>类试卷</w:t>
      </w:r>
      <w:r>
        <w:rPr>
          <w:rFonts w:hint="eastAsia" w:ascii="微软雅黑" w:hAnsi="微软雅黑" w:cs="微软雅黑"/>
        </w:rPr>
        <w:t>题型包括单选题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33850"/>
            <wp:effectExtent l="0" t="0" r="10160" b="0"/>
            <wp:docPr id="82" name="图片 82" descr="lQLPDhsmS6tE5AHNAzbNBSiwOqrK712mS_0CD2qrSIA-AA_1320_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lQLPDhsmS6tE5AHNAzbNBSiwOqrK712mS_0CD2qrSIA-AA_1320_82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多选题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7" name="图片 57" descr="笔试_多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笔试_多选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判断题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8" name="图片 58" descr="笔试_判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笔试_判断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问答题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38320"/>
            <wp:effectExtent l="0" t="0" r="10160" b="5080"/>
            <wp:docPr id="59" name="图片 59" descr="笔试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笔试_问答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录像题，需用APP作答</w:t>
      </w:r>
    </w:p>
    <w:p>
      <w:pPr>
        <w:pStyle w:val="2"/>
      </w:pPr>
      <w:bookmarkStart w:id="42" w:name="_GoBack"/>
      <w:bookmarkEnd w:id="42"/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听力题</w:t>
      </w:r>
      <w:r>
        <w:rPr>
          <w:rFonts w:hint="eastAsia" w:ascii="微软雅黑" w:hAnsi="微软雅黑" w:cs="微软雅黑"/>
          <w:lang w:eastAsia="zh-CN"/>
        </w:rPr>
        <w:t>：</w:t>
      </w:r>
      <w:r>
        <w:rPr>
          <w:rFonts w:hint="eastAsia" w:ascii="微软雅黑" w:hAnsi="微软雅黑" w:cs="微软雅黑"/>
        </w:rPr>
        <w:t>有一定的试听次数，听完后不可再试听，听力题播放的过程中如果切换页面会弹出提示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38290" cy="6315710"/>
            <wp:effectExtent l="0" t="0" r="10160" b="8890"/>
            <wp:docPr id="62" name="图片 62" descr="笔试_听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笔试_听力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0" name="图片 60" descr="笔试_听力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笔试_听力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1" name="图片 61" descr="笔试_听力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笔试_听力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4.2文档类试卷</w:t>
      </w:r>
    </w:p>
    <w:p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文档类试卷需要考生提前下载好答题卡并提前打印出来，考试过程中在纸上作答，作答完毕后通过手机拍照的方式将答卷上传到系统</w:t>
      </w:r>
    </w:p>
    <w:p/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3" name="图片 63" descr="拍照上传_PC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拍照上传_PC双机位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ascii="微软雅黑" w:hAnsi="微软雅黑" w:cs="微软雅黑"/>
          <w:sz w:val="21"/>
          <w:szCs w:val="21"/>
          <w:lang w:eastAsia="zh-CN"/>
        </w:rPr>
      </w:pPr>
      <w:bookmarkStart w:id="33" w:name="_Toc2822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5提交答卷</w:t>
      </w:r>
      <w:bookmarkEnd w:id="33"/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若考场有设置限制交卷，试卷下发时长未超过指定时间，将无法交卷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6" name="图片 66" descr="笔试_进入考场(交卷倒计时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笔试_进入考场(交卷倒计时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若考试有必答题未作答，将无法交卷，提示“有必答题未作答，无法交卷”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7" name="图片 67" descr="笔试_进入考场_交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笔试_进入考场_交卷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试卷下发时长超过指定时间，且所有必答题均已作答，将可以交卷，点击“我要交卷”，弹出交卷提示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8" name="图片 68" descr="笔试_进入考场_交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笔试_进入考场_交卷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</w:pPr>
      <w:r>
        <w:rPr>
          <w:rFonts w:hint="eastAsia" w:ascii="微软雅黑" w:hAnsi="微软雅黑" w:cs="微软雅黑"/>
        </w:rPr>
        <w:t>试卷提交成功后会退出考场</w:t>
      </w:r>
    </w:p>
    <w:p>
      <w:pPr>
        <w:pStyle w:val="5"/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</w:pPr>
      <w:bookmarkStart w:id="34" w:name="_Toc10827"/>
      <w:r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  <w:t>2.2.2实时互动——随来随考</w:t>
      </w:r>
      <w:bookmarkEnd w:id="34"/>
    </w:p>
    <w:p>
      <w:pPr>
        <w:numPr>
          <w:ilvl w:val="0"/>
          <w:numId w:val="21"/>
        </w:numPr>
        <w:ind w:left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点击“进入考场”，提示“进入考试后，将会开始计时，需要在作答时间内完成考试，中途退出不会暂停”</w:t>
      </w:r>
      <w:r>
        <w:rPr>
          <w:rFonts w:hint="eastAsia" w:ascii="微软雅黑" w:hAnsi="微软雅黑" w:cs="微软雅黑"/>
          <w:lang w:eastAsia="zh-CN"/>
        </w:rPr>
        <w:t>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</w:pPr>
      <w:bookmarkStart w:id="35" w:name="_Toc11740"/>
      <w:r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  <w:t>2.2.2.1 签署考试承诺书</w:t>
      </w:r>
      <w:bookmarkEnd w:id="35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a.  </w:t>
      </w: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bookmarkStart w:id="36" w:name="_Toc27135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2.2.2.2 人脸识别</w:t>
      </w:r>
      <w:bookmarkEnd w:id="36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 xml:space="preserve">a.  </w:t>
      </w:r>
      <w:r>
        <w:rPr>
          <w:rFonts w:hint="eastAsia" w:ascii="微软雅黑" w:hAnsi="微软雅黑" w:cs="微软雅黑"/>
        </w:rPr>
        <w:t>若该业务已开启人脸识别功能，则考生在进入考场前需要进行人脸识别（同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bookmarkStart w:id="37" w:name="_Toc2464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 xml:space="preserve">2.2.2.3 </w:t>
      </w:r>
      <w:bookmarkEnd w:id="37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开始作答</w:t>
      </w:r>
    </w:p>
    <w:p>
      <w:pPr>
        <w:pStyle w:val="2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>a.</w:t>
      </w:r>
      <w:r>
        <w:rPr>
          <w:rFonts w:hint="eastAsia" w:ascii="微软雅黑" w:hAnsi="微软雅黑" w:eastAsia="微软雅黑" w:cs="微软雅黑"/>
          <w:kern w:val="2"/>
          <w:sz w:val="21"/>
          <w:szCs w:val="24"/>
          <w:lang w:val="en-US" w:eastAsia="zh-CN" w:bidi="ar-SA"/>
        </w:rPr>
        <w:t xml:space="preserve">  进入</w:t>
      </w:r>
      <w:r>
        <w:rPr>
          <w:rFonts w:hint="eastAsia" w:ascii="微软雅黑" w:hAnsi="微软雅黑" w:cs="微软雅黑"/>
          <w:kern w:val="2"/>
          <w:sz w:val="21"/>
          <w:szCs w:val="24"/>
          <w:lang w:val="en-US" w:eastAsia="zh-CN" w:bidi="ar-SA"/>
        </w:rPr>
        <w:t>随来随考笔试界面后，</w:t>
      </w:r>
      <w:r>
        <w:rPr>
          <w:rFonts w:hint="eastAsia" w:ascii="微软雅黑" w:hAnsi="微软雅黑" w:cs="微软雅黑"/>
        </w:rPr>
        <w:t>需要阅读笔试考试注意事项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cs="微软雅黑"/>
          <w:lang w:val="en-US" w:eastAsia="zh-CN"/>
        </w:rPr>
        <w:t>查看试卷可开始答题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a)  无考官的考场，考生可进行设备检测、音量调节和设置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</w:pPr>
      <w:r>
        <w:rPr>
          <w:rFonts w:hint="eastAsia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  <w:t>b)  有考官的考场，学生可通过举手、聊天</w:t>
      </w:r>
      <w:r>
        <w:rPr>
          <w:rFonts w:hint="eastAsia" w:ascii="微软雅黑" w:hAnsi="微软雅黑" w:cs="微软雅黑"/>
        </w:rPr>
        <w:t>功能向考官反馈问题，寻求帮助</w:t>
      </w:r>
    </w:p>
    <w:p>
      <w:pPr>
        <w:pStyle w:val="2"/>
        <w:rPr>
          <w:rFonts w:hint="default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其余规则同实时互动—集中考试</w:t>
      </w:r>
    </w:p>
    <w:p>
      <w:pPr>
        <w:pStyle w:val="3"/>
        <w:rPr>
          <w:rFonts w:ascii="微软雅黑" w:hAnsi="微软雅黑" w:cs="微软雅黑"/>
        </w:rPr>
      </w:pPr>
      <w:bookmarkStart w:id="38" w:name="_Toc16352"/>
      <w:bookmarkStart w:id="39" w:name="_Toc28547"/>
      <w:r>
        <w:rPr>
          <w:rFonts w:hint="eastAsia" w:ascii="微软雅黑" w:hAnsi="微软雅黑" w:cs="微软雅黑"/>
        </w:rPr>
        <w:t>3.考后</w:t>
      </w:r>
      <w:bookmarkEnd w:id="38"/>
      <w:bookmarkEnd w:id="39"/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0" w:name="_Toc21122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40"/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考试结束时，考生会收到结束提醒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1" w:name="_Toc23575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41"/>
    </w:p>
    <w:p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考试结束前5分钟，考生会收到交卷提醒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24350"/>
            <wp:effectExtent l="0" t="0" r="10160" b="0"/>
            <wp:docPr id="65" name="图片 65" descr="笔试_考试结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笔试_考试结束提醒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9" name="图片 69" descr="笔试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笔试_考试结束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E4D26F"/>
    <w:multiLevelType w:val="singleLevel"/>
    <w:tmpl w:val="84E4D26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88E97DC6"/>
    <w:multiLevelType w:val="singleLevel"/>
    <w:tmpl w:val="88E97DC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1F396A2E"/>
    <w:multiLevelType w:val="singleLevel"/>
    <w:tmpl w:val="1F396A2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11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2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45E7C1EC"/>
    <w:multiLevelType w:val="singleLevel"/>
    <w:tmpl w:val="45E7C1EC"/>
    <w:lvl w:ilvl="0" w:tentative="0">
      <w:start w:val="1"/>
      <w:numFmt w:val="lowerLetter"/>
      <w:suff w:val="space"/>
      <w:lvlText w:val="%1."/>
      <w:lvlJc w:val="left"/>
    </w:lvl>
  </w:abstractNum>
  <w:abstractNum w:abstractNumId="14">
    <w:nsid w:val="4D4A209F"/>
    <w:multiLevelType w:val="singleLevel"/>
    <w:tmpl w:val="4D4A209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4F3CE5C3"/>
    <w:multiLevelType w:val="singleLevel"/>
    <w:tmpl w:val="4F3CE5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599284BF"/>
    <w:multiLevelType w:val="singleLevel"/>
    <w:tmpl w:val="599284B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8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9">
    <w:nsid w:val="60816A03"/>
    <w:multiLevelType w:val="singleLevel"/>
    <w:tmpl w:val="60816A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0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1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21"/>
  </w:num>
  <w:num w:numId="2">
    <w:abstractNumId w:val="10"/>
  </w:num>
  <w:num w:numId="3">
    <w:abstractNumId w:val="22"/>
  </w:num>
  <w:num w:numId="4">
    <w:abstractNumId w:val="2"/>
  </w:num>
  <w:num w:numId="5">
    <w:abstractNumId w:val="11"/>
  </w:num>
  <w:num w:numId="6">
    <w:abstractNumId w:val="4"/>
  </w:num>
  <w:num w:numId="7">
    <w:abstractNumId w:val="16"/>
  </w:num>
  <w:num w:numId="8">
    <w:abstractNumId w:val="3"/>
  </w:num>
  <w:num w:numId="9">
    <w:abstractNumId w:val="8"/>
  </w:num>
  <w:num w:numId="10">
    <w:abstractNumId w:val="5"/>
  </w:num>
  <w:num w:numId="11">
    <w:abstractNumId w:val="12"/>
  </w:num>
  <w:num w:numId="12">
    <w:abstractNumId w:val="14"/>
  </w:num>
  <w:num w:numId="13">
    <w:abstractNumId w:val="0"/>
  </w:num>
  <w:num w:numId="14">
    <w:abstractNumId w:val="15"/>
  </w:num>
  <w:num w:numId="15">
    <w:abstractNumId w:val="7"/>
  </w:num>
  <w:num w:numId="16">
    <w:abstractNumId w:val="1"/>
  </w:num>
  <w:num w:numId="17">
    <w:abstractNumId w:val="17"/>
  </w:num>
  <w:num w:numId="18">
    <w:abstractNumId w:val="9"/>
  </w:num>
  <w:num w:numId="19">
    <w:abstractNumId w:val="19"/>
  </w:num>
  <w:num w:numId="20">
    <w:abstractNumId w:val="20"/>
  </w:num>
  <w:num w:numId="21">
    <w:abstractNumId w:val="13"/>
  </w:num>
  <w:num w:numId="22">
    <w:abstractNumId w:val="6"/>
  </w:num>
  <w:num w:numId="2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BmYzExNWUzZjIwYTVmZDg5OWFkNTUyMzgzZDhmYjUifQ=="/>
  </w:docVars>
  <w:rsids>
    <w:rsidRoot w:val="473C3795"/>
    <w:rsid w:val="0000014B"/>
    <w:rsid w:val="00017EAA"/>
    <w:rsid w:val="00122E00"/>
    <w:rsid w:val="001705B6"/>
    <w:rsid w:val="001B2273"/>
    <w:rsid w:val="003F51BD"/>
    <w:rsid w:val="006558FA"/>
    <w:rsid w:val="00663A38"/>
    <w:rsid w:val="007B7198"/>
    <w:rsid w:val="007F02EB"/>
    <w:rsid w:val="00967345"/>
    <w:rsid w:val="00AC3D86"/>
    <w:rsid w:val="00CC495F"/>
    <w:rsid w:val="00DD4FFE"/>
    <w:rsid w:val="05E008A6"/>
    <w:rsid w:val="07FC4815"/>
    <w:rsid w:val="0CEC2128"/>
    <w:rsid w:val="0DB03AB9"/>
    <w:rsid w:val="1C9D2F9B"/>
    <w:rsid w:val="209740BF"/>
    <w:rsid w:val="283B0547"/>
    <w:rsid w:val="2A787738"/>
    <w:rsid w:val="2DDA29F2"/>
    <w:rsid w:val="30E14DE4"/>
    <w:rsid w:val="31254F51"/>
    <w:rsid w:val="34056B8E"/>
    <w:rsid w:val="34592464"/>
    <w:rsid w:val="37623D58"/>
    <w:rsid w:val="3D085B37"/>
    <w:rsid w:val="3F757C8C"/>
    <w:rsid w:val="3FAD685A"/>
    <w:rsid w:val="3FFD4FE0"/>
    <w:rsid w:val="458F486F"/>
    <w:rsid w:val="473C3795"/>
    <w:rsid w:val="48E839D6"/>
    <w:rsid w:val="49C77D7B"/>
    <w:rsid w:val="4B5A04C6"/>
    <w:rsid w:val="54BD7C02"/>
    <w:rsid w:val="54F74A5B"/>
    <w:rsid w:val="57273EEE"/>
    <w:rsid w:val="5975172F"/>
    <w:rsid w:val="597F1107"/>
    <w:rsid w:val="5BF4485D"/>
    <w:rsid w:val="5E007A25"/>
    <w:rsid w:val="63BB3A4C"/>
    <w:rsid w:val="64085E43"/>
    <w:rsid w:val="646F2BA1"/>
    <w:rsid w:val="64752E21"/>
    <w:rsid w:val="649A5ACE"/>
    <w:rsid w:val="65472924"/>
    <w:rsid w:val="67103B55"/>
    <w:rsid w:val="6C216056"/>
    <w:rsid w:val="6DDB35D8"/>
    <w:rsid w:val="6E505C6F"/>
    <w:rsid w:val="6FF20E76"/>
    <w:rsid w:val="78164441"/>
    <w:rsid w:val="786509D8"/>
    <w:rsid w:val="7A7F6F8E"/>
    <w:rsid w:val="7CA549E8"/>
    <w:rsid w:val="7CD27A4C"/>
    <w:rsid w:val="7DB72A5A"/>
    <w:rsid w:val="7EAB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5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6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8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19">
    <w:name w:val="页眉 字符"/>
    <w:basedOn w:val="14"/>
    <w:link w:val="9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42</Pages>
  <Words>3188</Words>
  <Characters>3496</Characters>
  <Lines>31</Lines>
  <Paragraphs>8</Paragraphs>
  <TotalTime>1</TotalTime>
  <ScaleCrop>false</ScaleCrop>
  <LinksUpToDate>false</LinksUpToDate>
  <CharactersWithSpaces>3735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一个周两个周</cp:lastModifiedBy>
  <dcterms:modified xsi:type="dcterms:W3CDTF">2022-12-08T05:55:58Z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299B48F135F04DDD9B9D21373978BD4D</vt:lpwstr>
  </property>
</Properties>
</file>